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802A" w14:textId="1BE8B447" w:rsidR="008363E3" w:rsidRPr="00411B6A" w:rsidRDefault="00831313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110</w:t>
      </w:r>
      <w:r w:rsidR="00BD4BE8">
        <w:rPr>
          <w:rFonts w:ascii="Arial" w:eastAsia="Arial" w:hAnsi="Arial" w:cs="Arial"/>
          <w:sz w:val="20"/>
          <w:szCs w:val="20"/>
        </w:rPr>
        <w:t xml:space="preserve"> a</w:t>
      </w:r>
      <w:r w:rsidR="008363E3" w:rsidRPr="00411B6A">
        <w:rPr>
          <w:rFonts w:ascii="Arial" w:eastAsia="Arial" w:hAnsi="Arial" w:cs="Arial"/>
          <w:sz w:val="20"/>
          <w:szCs w:val="20"/>
        </w:rPr>
        <w:t>. 202</w:t>
      </w:r>
      <w:r w:rsidR="00654F19">
        <w:rPr>
          <w:rFonts w:ascii="Arial" w:eastAsia="Arial" w:hAnsi="Arial" w:cs="Arial"/>
          <w:sz w:val="20"/>
          <w:szCs w:val="20"/>
        </w:rPr>
        <w:t>4</w:t>
      </w:r>
    </w:p>
    <w:p w14:paraId="290A7D76" w14:textId="0CA7618F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742902">
        <w:rPr>
          <w:rFonts w:ascii="Arial" w:eastAsia="Arial" w:hAnsi="Arial" w:cs="Arial"/>
          <w:sz w:val="21"/>
          <w:szCs w:val="21"/>
        </w:rPr>
        <w:t>1</w:t>
      </w:r>
      <w:r w:rsidR="00040DEE">
        <w:rPr>
          <w:rFonts w:ascii="Arial" w:eastAsia="Arial" w:hAnsi="Arial" w:cs="Arial"/>
          <w:sz w:val="21"/>
          <w:szCs w:val="21"/>
        </w:rPr>
        <w:t>9</w:t>
      </w:r>
      <w:r w:rsidR="00B649FD">
        <w:rPr>
          <w:rFonts w:ascii="Arial" w:eastAsia="Arial" w:hAnsi="Arial" w:cs="Arial"/>
          <w:sz w:val="21"/>
          <w:szCs w:val="21"/>
        </w:rPr>
        <w:t xml:space="preserve"> giugno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654F19">
        <w:rPr>
          <w:rFonts w:ascii="Arial" w:eastAsia="Arial" w:hAnsi="Arial" w:cs="Arial"/>
          <w:sz w:val="21"/>
          <w:szCs w:val="21"/>
        </w:rPr>
        <w:t>4</w:t>
      </w:r>
    </w:p>
    <w:p w14:paraId="127BE62C" w14:textId="77777777" w:rsidR="00B649FD" w:rsidRPr="00BD4BE8" w:rsidRDefault="00B649FD" w:rsidP="00BD4BE8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BD4BE8">
        <w:rPr>
          <w:rFonts w:ascii="Arial" w:eastAsia="Arial" w:hAnsi="Arial" w:cs="Arial"/>
          <w:b/>
          <w:bCs/>
          <w:sz w:val="22"/>
          <w:szCs w:val="22"/>
        </w:rPr>
        <w:t>Comunicato stampa</w:t>
      </w:r>
    </w:p>
    <w:p w14:paraId="3639D258" w14:textId="227A5328" w:rsidR="00EF5780" w:rsidRPr="00BD4BE8" w:rsidRDefault="00EF5780" w:rsidP="00BD4B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4BE8">
        <w:rPr>
          <w:rFonts w:ascii="Arial" w:hAnsi="Arial" w:cs="Arial"/>
          <w:b/>
          <w:bCs/>
          <w:sz w:val="28"/>
          <w:szCs w:val="28"/>
        </w:rPr>
        <w:t>Verona</w:t>
      </w:r>
      <w:r w:rsidR="004D44B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4BE8">
        <w:rPr>
          <w:rFonts w:ascii="Arial" w:hAnsi="Arial" w:cs="Arial"/>
          <w:b/>
          <w:bCs/>
          <w:sz w:val="28"/>
          <w:szCs w:val="28"/>
        </w:rPr>
        <w:t>nelle top 200 università al mondo</w:t>
      </w:r>
    </w:p>
    <w:p w14:paraId="634741D3" w14:textId="49D4E226" w:rsidR="00EF5780" w:rsidRDefault="00EF5780" w:rsidP="00BD4B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4BE8">
        <w:rPr>
          <w:rFonts w:ascii="Arial" w:hAnsi="Arial" w:cs="Arial"/>
          <w:b/>
          <w:bCs/>
          <w:sz w:val="28"/>
          <w:szCs w:val="28"/>
        </w:rPr>
        <w:t xml:space="preserve">per </w:t>
      </w:r>
      <w:r w:rsidR="00BD4BE8" w:rsidRPr="00BD4BE8">
        <w:rPr>
          <w:rFonts w:ascii="Arial" w:hAnsi="Arial" w:cs="Arial"/>
          <w:b/>
          <w:bCs/>
          <w:sz w:val="28"/>
          <w:szCs w:val="28"/>
        </w:rPr>
        <w:t>p</w:t>
      </w:r>
      <w:r w:rsidRPr="00BD4BE8">
        <w:rPr>
          <w:rFonts w:ascii="Arial" w:hAnsi="Arial" w:cs="Arial"/>
          <w:b/>
          <w:bCs/>
          <w:sz w:val="28"/>
          <w:szCs w:val="28"/>
        </w:rPr>
        <w:t xml:space="preserve">arità di genere e </w:t>
      </w:r>
      <w:r w:rsidR="00BD4BE8" w:rsidRPr="00BD4BE8">
        <w:rPr>
          <w:rFonts w:ascii="Arial" w:hAnsi="Arial" w:cs="Arial"/>
          <w:b/>
          <w:bCs/>
          <w:sz w:val="28"/>
          <w:szCs w:val="28"/>
        </w:rPr>
        <w:t>r</w:t>
      </w:r>
      <w:r w:rsidRPr="00BD4BE8">
        <w:rPr>
          <w:rFonts w:ascii="Arial" w:hAnsi="Arial" w:cs="Arial"/>
          <w:b/>
          <w:bCs/>
          <w:sz w:val="28"/>
          <w:szCs w:val="28"/>
        </w:rPr>
        <w:t>iduzione delle diseguaglianze</w:t>
      </w:r>
    </w:p>
    <w:p w14:paraId="06F4A3A0" w14:textId="77777777" w:rsidR="004D44BF" w:rsidRPr="00BD4BE8" w:rsidRDefault="004D44BF" w:rsidP="00BD4BE8">
      <w:pPr>
        <w:jc w:val="center"/>
        <w:rPr>
          <w:rFonts w:ascii="Arial" w:hAnsi="Arial" w:cs="Arial"/>
          <w:b/>
          <w:bCs/>
        </w:rPr>
      </w:pPr>
    </w:p>
    <w:p w14:paraId="3FB51CE9" w14:textId="4F1365C1" w:rsidR="00EF5780" w:rsidRPr="00BD4BE8" w:rsidRDefault="004D44BF" w:rsidP="004D44BF">
      <w:pPr>
        <w:jc w:val="center"/>
        <w:rPr>
          <w:rFonts w:ascii="Arial" w:hAnsi="Arial" w:cs="Arial"/>
          <w:color w:val="FF0000"/>
        </w:rPr>
      </w:pPr>
      <w:r>
        <w:rPr>
          <w:rStyle w:val="Enfasigrassetto"/>
          <w:rFonts w:ascii="Arial" w:hAnsi="Arial" w:cs="Arial"/>
        </w:rPr>
        <w:t xml:space="preserve">Pubblicato il nuovo </w:t>
      </w:r>
      <w:r w:rsidRPr="00831313">
        <w:rPr>
          <w:rStyle w:val="Enfasigrassetto"/>
          <w:rFonts w:ascii="Arial" w:hAnsi="Arial" w:cs="Arial"/>
        </w:rPr>
        <w:t xml:space="preserve">ranking in materia di sostenibilità del Times </w:t>
      </w:r>
      <w:proofErr w:type="spellStart"/>
      <w:r w:rsidRPr="00831313">
        <w:rPr>
          <w:rStyle w:val="Enfasigrassetto"/>
          <w:rFonts w:ascii="Arial" w:hAnsi="Arial" w:cs="Arial"/>
        </w:rPr>
        <w:t>higher</w:t>
      </w:r>
      <w:proofErr w:type="spellEnd"/>
      <w:r w:rsidRPr="00831313">
        <w:rPr>
          <w:rStyle w:val="Enfasigrassetto"/>
          <w:rFonts w:ascii="Arial" w:hAnsi="Arial" w:cs="Arial"/>
        </w:rPr>
        <w:t xml:space="preserve"> </w:t>
      </w:r>
      <w:proofErr w:type="spellStart"/>
      <w:r w:rsidRPr="00831313">
        <w:rPr>
          <w:rStyle w:val="Enfasigrassetto"/>
          <w:rFonts w:ascii="Arial" w:hAnsi="Arial" w:cs="Arial"/>
        </w:rPr>
        <w:t>education</w:t>
      </w:r>
      <w:proofErr w:type="spellEnd"/>
    </w:p>
    <w:p w14:paraId="2222E7A5" w14:textId="44ECA211" w:rsidR="00DA694D" w:rsidRPr="00831313" w:rsidRDefault="00DA694D" w:rsidP="00BD4BE8">
      <w:pPr>
        <w:pStyle w:val="NormaleWeb"/>
        <w:jc w:val="both"/>
        <w:rPr>
          <w:rFonts w:ascii="Arial" w:hAnsi="Arial" w:cs="Arial"/>
        </w:rPr>
      </w:pPr>
      <w:r w:rsidRPr="00831313">
        <w:rPr>
          <w:rStyle w:val="Enfasigrassetto"/>
          <w:rFonts w:ascii="Arial" w:hAnsi="Arial" w:cs="Arial"/>
        </w:rPr>
        <w:t xml:space="preserve">Parità di genere e riduzione delle diseguaglianze sono gli obiettivi in cui l’università di Verona spicca nell’edizione 2024 del ranking in materia di sostenibilità del Times </w:t>
      </w:r>
      <w:proofErr w:type="spellStart"/>
      <w:r w:rsidRPr="00831313">
        <w:rPr>
          <w:rStyle w:val="Enfasigrassetto"/>
          <w:rFonts w:ascii="Arial" w:hAnsi="Arial" w:cs="Arial"/>
        </w:rPr>
        <w:t>higher</w:t>
      </w:r>
      <w:proofErr w:type="spellEnd"/>
      <w:r w:rsidRPr="00831313">
        <w:rPr>
          <w:rStyle w:val="Enfasigrassetto"/>
          <w:rFonts w:ascii="Arial" w:hAnsi="Arial" w:cs="Arial"/>
        </w:rPr>
        <w:t xml:space="preserve"> </w:t>
      </w:r>
      <w:proofErr w:type="spellStart"/>
      <w:r w:rsidRPr="00831313">
        <w:rPr>
          <w:rStyle w:val="Enfasigrassetto"/>
          <w:rFonts w:ascii="Arial" w:hAnsi="Arial" w:cs="Arial"/>
        </w:rPr>
        <w:t>education</w:t>
      </w:r>
      <w:proofErr w:type="spellEnd"/>
      <w:r w:rsidRPr="00831313">
        <w:rPr>
          <w:rStyle w:val="Enfasigrassetto"/>
          <w:rFonts w:ascii="Arial" w:hAnsi="Arial" w:cs="Arial"/>
        </w:rPr>
        <w:t xml:space="preserve"> The denominato </w:t>
      </w:r>
      <w:r w:rsidR="004D44BF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impact rankings</w:t>
      </w:r>
      <w:r w:rsidR="004D44BF">
        <w:rPr>
          <w:rStyle w:val="Enfasigrassetto"/>
          <w:rFonts w:ascii="Arial" w:hAnsi="Arial" w:cs="Arial"/>
        </w:rPr>
        <w:t>”</w:t>
      </w:r>
      <w:r w:rsidRPr="00831313">
        <w:rPr>
          <w:rStyle w:val="Enfasigrassetto"/>
          <w:rFonts w:ascii="Arial" w:hAnsi="Arial" w:cs="Arial"/>
        </w:rPr>
        <w:t>. Si tratta di un insieme di classifiche che misurano il successo delle università nel raggiungimento degli obiettivi di sviluppo sostenibile delle nazioni unite.</w:t>
      </w:r>
    </w:p>
    <w:p w14:paraId="301D65FB" w14:textId="77777777" w:rsidR="00DA694D" w:rsidRPr="00831313" w:rsidRDefault="00DA694D" w:rsidP="00BD4BE8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>The stila una classifica per ognuno degli obiettivi dell’agenda 2030 dell’Onu utilizzando opportuni indicatori calcolati sulla base di dati e informazioni forniti dalle università stesse che scelgono autonomamente a quali e quanti ranking partecipare. Inoltre, mettendo insieme i vari risultati ottenuti, The redige una classifica sintetica mondiale complessiva.</w:t>
      </w:r>
    </w:p>
    <w:p w14:paraId="72DE1B22" w14:textId="77777777" w:rsidR="00DA694D" w:rsidRPr="00831313" w:rsidRDefault="00DA694D" w:rsidP="00BD4BE8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 xml:space="preserve">È la terza volta che l’ateneo partecipa concorrendo quest’anno a classificarsi per </w:t>
      </w:r>
      <w:proofErr w:type="gramStart"/>
      <w:r w:rsidRPr="00831313">
        <w:rPr>
          <w:rFonts w:ascii="Arial" w:hAnsi="Arial" w:cs="Arial"/>
        </w:rPr>
        <w:t>6</w:t>
      </w:r>
      <w:proofErr w:type="gramEnd"/>
      <w:r w:rsidRPr="00831313">
        <w:rPr>
          <w:rFonts w:ascii="Arial" w:hAnsi="Arial" w:cs="Arial"/>
        </w:rPr>
        <w:t xml:space="preserve"> rankings più la classifica generale.</w:t>
      </w:r>
    </w:p>
    <w:p w14:paraId="4DC3D618" w14:textId="6D44E4E5" w:rsidR="00DA694D" w:rsidRPr="00831313" w:rsidRDefault="00DA694D" w:rsidP="00BD4BE8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 xml:space="preserve">I due migliori risultati con la fascia 101 - 200 riguardano l’obiettivo Onu </w:t>
      </w:r>
      <w:r w:rsidRPr="00831313">
        <w:rPr>
          <w:rStyle w:val="Enfasigrassetto"/>
          <w:rFonts w:ascii="Arial" w:hAnsi="Arial" w:cs="Arial"/>
        </w:rPr>
        <w:t xml:space="preserve">numero 5 </w:t>
      </w:r>
      <w:r w:rsidR="00BD4BE8" w:rsidRPr="00831313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Parità di genere</w:t>
      </w:r>
      <w:r w:rsidR="00BD4BE8" w:rsidRPr="00831313">
        <w:rPr>
          <w:rStyle w:val="Enfasigrassetto"/>
          <w:rFonts w:ascii="Arial" w:hAnsi="Arial" w:cs="Arial"/>
        </w:rPr>
        <w:t>”</w:t>
      </w:r>
      <w:r w:rsidRPr="00831313">
        <w:rPr>
          <w:rStyle w:val="Enfasigrassetto"/>
          <w:rFonts w:ascii="Arial" w:hAnsi="Arial" w:cs="Arial"/>
        </w:rPr>
        <w:t xml:space="preserve"> </w:t>
      </w:r>
      <w:r w:rsidRPr="00831313">
        <w:rPr>
          <w:rFonts w:ascii="Arial" w:hAnsi="Arial" w:cs="Arial"/>
        </w:rPr>
        <w:t xml:space="preserve">e l’obiettivo </w:t>
      </w:r>
      <w:r w:rsidRPr="00831313">
        <w:rPr>
          <w:rStyle w:val="Enfasigrassetto"/>
          <w:rFonts w:ascii="Arial" w:hAnsi="Arial" w:cs="Arial"/>
        </w:rPr>
        <w:t xml:space="preserve">numero 10 </w:t>
      </w:r>
      <w:r w:rsidR="00BD4BE8" w:rsidRPr="00831313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Ridurre le diseguaglianze</w:t>
      </w:r>
      <w:r w:rsidR="00BD4BE8" w:rsidRPr="00831313">
        <w:rPr>
          <w:rStyle w:val="Enfasigrassetto"/>
          <w:rFonts w:ascii="Arial" w:hAnsi="Arial" w:cs="Arial"/>
        </w:rPr>
        <w:t>”</w:t>
      </w:r>
      <w:r w:rsidRPr="00831313">
        <w:rPr>
          <w:rStyle w:val="Enfasigrassetto"/>
          <w:rFonts w:ascii="Arial" w:hAnsi="Arial" w:cs="Arial"/>
        </w:rPr>
        <w:t xml:space="preserve">, </w:t>
      </w:r>
      <w:r w:rsidRPr="00831313">
        <w:rPr>
          <w:rFonts w:ascii="Arial" w:hAnsi="Arial" w:cs="Arial"/>
        </w:rPr>
        <w:t>che confermano il piazzamento dello scorso anno a fronte dell’aumento delle istituzioni partecipanti rispettivamente a 1.361 (lo scorso anno erano 1.081) e a 1.108 (lo scorso anno erano 901).</w:t>
      </w:r>
    </w:p>
    <w:p w14:paraId="6CF94263" w14:textId="06411C23" w:rsidR="00DA694D" w:rsidRPr="00831313" w:rsidRDefault="00DA694D" w:rsidP="00BD4BE8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 xml:space="preserve">Rientrano, invece, nella fascia 201-300 gli obiettivi </w:t>
      </w:r>
      <w:r w:rsidRPr="00831313">
        <w:rPr>
          <w:rStyle w:val="Enfasigrassetto"/>
          <w:rFonts w:ascii="Arial" w:hAnsi="Arial" w:cs="Arial"/>
        </w:rPr>
        <w:t xml:space="preserve">numero 4 </w:t>
      </w:r>
      <w:r w:rsidR="00BD4BE8" w:rsidRPr="00831313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Istruzione di qualità</w:t>
      </w:r>
      <w:r w:rsidR="00BD4BE8" w:rsidRPr="00831313">
        <w:rPr>
          <w:rStyle w:val="Enfasigrassetto"/>
          <w:rFonts w:ascii="Arial" w:hAnsi="Arial" w:cs="Arial"/>
        </w:rPr>
        <w:t>”</w:t>
      </w:r>
      <w:r w:rsidRPr="00831313">
        <w:rPr>
          <w:rFonts w:ascii="Arial" w:hAnsi="Arial" w:cs="Arial"/>
        </w:rPr>
        <w:t xml:space="preserve"> e </w:t>
      </w:r>
      <w:r w:rsidRPr="00831313">
        <w:rPr>
          <w:rStyle w:val="Enfasigrassetto"/>
          <w:rFonts w:ascii="Arial" w:hAnsi="Arial" w:cs="Arial"/>
        </w:rPr>
        <w:t xml:space="preserve">numero 9 </w:t>
      </w:r>
      <w:r w:rsidR="00BD4BE8" w:rsidRPr="00831313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Imprese, innovazione e infrastrutture</w:t>
      </w:r>
      <w:r w:rsidR="00BD4BE8" w:rsidRPr="00831313">
        <w:rPr>
          <w:rStyle w:val="Enfasigrassetto"/>
          <w:rFonts w:ascii="Arial" w:hAnsi="Arial" w:cs="Arial"/>
        </w:rPr>
        <w:t>”</w:t>
      </w:r>
      <w:r w:rsidRPr="00831313">
        <w:rPr>
          <w:rStyle w:val="Enfasigrassetto"/>
          <w:rFonts w:ascii="Arial" w:hAnsi="Arial" w:cs="Arial"/>
        </w:rPr>
        <w:t xml:space="preserve"> </w:t>
      </w:r>
      <w:r w:rsidRPr="00831313">
        <w:rPr>
          <w:rFonts w:ascii="Arial" w:hAnsi="Arial" w:cs="Arial"/>
        </w:rPr>
        <w:t>che conferma invece il posizionamento dello scorso anno su 1.681 istituzioni (lo scorso anno erano 1.304).</w:t>
      </w:r>
    </w:p>
    <w:p w14:paraId="3174D0D8" w14:textId="1960C561" w:rsidR="00DA694D" w:rsidRPr="00831313" w:rsidRDefault="00DA694D" w:rsidP="00BD4BE8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>Verona, infine, si posiziona nella fascia 301-400 con l’obiettivo</w:t>
      </w:r>
      <w:r w:rsidRPr="00831313">
        <w:rPr>
          <w:rStyle w:val="Enfasigrassetto"/>
          <w:rFonts w:ascii="Arial" w:hAnsi="Arial" w:cs="Arial"/>
        </w:rPr>
        <w:t xml:space="preserve"> numero 3 </w:t>
      </w:r>
      <w:r w:rsidR="00BD4BE8" w:rsidRPr="00831313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Salute e benessere</w:t>
      </w:r>
      <w:r w:rsidR="00BD4BE8" w:rsidRPr="00831313">
        <w:rPr>
          <w:rStyle w:val="Enfasigrassetto"/>
          <w:rFonts w:ascii="Arial" w:hAnsi="Arial" w:cs="Arial"/>
        </w:rPr>
        <w:t>”</w:t>
      </w:r>
      <w:r w:rsidRPr="00831313">
        <w:rPr>
          <w:rStyle w:val="Enfasigrassetto"/>
          <w:rFonts w:ascii="Arial" w:hAnsi="Arial" w:cs="Arial"/>
        </w:rPr>
        <w:t xml:space="preserve"> </w:t>
      </w:r>
      <w:r w:rsidRPr="00831313">
        <w:rPr>
          <w:rFonts w:ascii="Arial" w:hAnsi="Arial" w:cs="Arial"/>
        </w:rPr>
        <w:t xml:space="preserve">cui partecipano quest’anno 1.498 istituzioni (erano 1.218 nella scorsa edizione) e l’obiettivo </w:t>
      </w:r>
      <w:r w:rsidRPr="00831313">
        <w:rPr>
          <w:rStyle w:val="Enfasigrassetto"/>
          <w:rFonts w:ascii="Arial" w:hAnsi="Arial" w:cs="Arial"/>
        </w:rPr>
        <w:t xml:space="preserve">numero 17 </w:t>
      </w:r>
      <w:r w:rsidR="00BD4BE8" w:rsidRPr="00831313">
        <w:rPr>
          <w:rStyle w:val="Enfasigrassetto"/>
          <w:rFonts w:ascii="Arial" w:hAnsi="Arial" w:cs="Arial"/>
        </w:rPr>
        <w:t>“</w:t>
      </w:r>
      <w:r w:rsidRPr="00831313">
        <w:rPr>
          <w:rStyle w:val="Enfasigrassetto"/>
          <w:rFonts w:ascii="Arial" w:hAnsi="Arial" w:cs="Arial"/>
        </w:rPr>
        <w:t>Partnership per gli obiettivi</w:t>
      </w:r>
      <w:r w:rsidR="00BD4BE8" w:rsidRPr="00831313">
        <w:rPr>
          <w:rStyle w:val="Enfasigrassetto"/>
          <w:rFonts w:ascii="Arial" w:hAnsi="Arial" w:cs="Arial"/>
        </w:rPr>
        <w:t>”</w:t>
      </w:r>
      <w:r w:rsidRPr="00831313">
        <w:rPr>
          <w:rStyle w:val="Enfasigrassetto"/>
          <w:rFonts w:ascii="Arial" w:hAnsi="Arial" w:cs="Arial"/>
        </w:rPr>
        <w:t xml:space="preserve">, </w:t>
      </w:r>
      <w:proofErr w:type="spellStart"/>
      <w:r w:rsidRPr="00831313">
        <w:rPr>
          <w:rFonts w:ascii="Arial" w:hAnsi="Arial" w:cs="Arial"/>
        </w:rPr>
        <w:t>ranks</w:t>
      </w:r>
      <w:proofErr w:type="spellEnd"/>
      <w:r w:rsidRPr="00831313">
        <w:rPr>
          <w:rFonts w:ascii="Arial" w:hAnsi="Arial" w:cs="Arial"/>
        </w:rPr>
        <w:t xml:space="preserve"> che vede Verona raggiungere la fascia 601-800 rispetto alla fascia 801-100 dello scorso anno, a fronte delle 2.152 istituzioni partecipanti (erano 1.591 lo scorso anno).</w:t>
      </w:r>
    </w:p>
    <w:p w14:paraId="0AAD5FC8" w14:textId="77777777" w:rsidR="004D44BF" w:rsidRDefault="00DA694D" w:rsidP="004D44BF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>Nella classifica complessiva il punteggio ottenuto dall’ateneo è di 72.8 che consente di confermare la fascia 401-600 su più di 2.150 istituzioni (erano 1.591 nel 2023).</w:t>
      </w:r>
    </w:p>
    <w:p w14:paraId="2FE70DFA" w14:textId="6EA6A8FA" w:rsidR="00831313" w:rsidRPr="00831313" w:rsidRDefault="00831313" w:rsidP="004D44BF">
      <w:pPr>
        <w:pStyle w:val="NormaleWeb"/>
        <w:jc w:val="both"/>
        <w:rPr>
          <w:rFonts w:ascii="Arial" w:hAnsi="Arial" w:cs="Arial"/>
        </w:rPr>
      </w:pPr>
      <w:r w:rsidRPr="00831313">
        <w:rPr>
          <w:rFonts w:ascii="Arial" w:hAnsi="Arial" w:cs="Arial"/>
        </w:rPr>
        <w:t xml:space="preserve">“L’intera comunità universitaria - ha spiegato il magnifico rettore </w:t>
      </w:r>
      <w:r w:rsidRPr="00831313">
        <w:rPr>
          <w:rFonts w:ascii="Arial" w:hAnsi="Arial" w:cs="Arial"/>
          <w:b/>
          <w:bCs/>
        </w:rPr>
        <w:t>Pier Francesco Nocini</w:t>
      </w:r>
      <w:r w:rsidRPr="00831313">
        <w:rPr>
          <w:rFonts w:ascii="Arial" w:hAnsi="Arial" w:cs="Arial"/>
        </w:rPr>
        <w:t xml:space="preserve"> - ha lavorato con impegno, in questi anni, per raggiungere gli obiettivi di sviluppo sostenibile dell’Agenda Onu in ambito di didattica, ricerca, trasferimento tecnologico e Public engagement. La nuova classifica mondiale </w:t>
      </w:r>
      <w:r w:rsidRPr="00831313">
        <w:rPr>
          <w:rFonts w:ascii="Arial" w:hAnsi="Arial" w:cs="Arial"/>
          <w:i/>
          <w:iCs/>
        </w:rPr>
        <w:t>The impact rankings</w:t>
      </w:r>
      <w:r w:rsidRPr="00831313">
        <w:rPr>
          <w:rFonts w:ascii="Arial" w:hAnsi="Arial" w:cs="Arial"/>
        </w:rPr>
        <w:t>, che ci vede posizionati nella fascia tra i migliori 400 e 600 atenei del mondo, conferma la qualità del lavoro di squadra di questi anni”.</w:t>
      </w:r>
    </w:p>
    <w:p w14:paraId="66987C41" w14:textId="77777777" w:rsidR="00BD4BE8" w:rsidRDefault="00BD4BE8" w:rsidP="00BD4BE8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14:paraId="6FCA76A6" w14:textId="3F4F7717" w:rsidR="007F6064" w:rsidRPr="00BD4BE8" w:rsidRDefault="00BD4BE8" w:rsidP="00BD4BE8">
      <w:pPr>
        <w:pStyle w:val="NormaleWeb"/>
        <w:jc w:val="both"/>
        <w:rPr>
          <w:i/>
          <w:iCs/>
          <w:sz w:val="22"/>
          <w:szCs w:val="22"/>
        </w:rPr>
      </w:pPr>
      <w:r w:rsidRPr="00BD4BE8">
        <w:rPr>
          <w:rFonts w:ascii="Arial" w:hAnsi="Arial" w:cs="Arial"/>
          <w:i/>
          <w:iCs/>
          <w:sz w:val="21"/>
          <w:szCs w:val="21"/>
        </w:rPr>
        <w:t xml:space="preserve">Referente: Sara </w:t>
      </w:r>
      <w:proofErr w:type="spellStart"/>
      <w:r w:rsidRPr="00BD4BE8">
        <w:rPr>
          <w:rFonts w:ascii="Arial" w:hAnsi="Arial" w:cs="Arial"/>
          <w:i/>
          <w:iCs/>
          <w:sz w:val="21"/>
          <w:szCs w:val="21"/>
        </w:rPr>
        <w:t>Mauroner</w:t>
      </w:r>
      <w:proofErr w:type="spellEnd"/>
    </w:p>
    <w:p w14:paraId="4536B644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EFB2133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000000">
        <w:fldChar w:fldCharType="begin"/>
      </w:r>
      <w:r w:rsidR="00000000">
        <w:instrText>HYPERLINK "https://www.univr.it/it/univerona-news" \t "_blank"</w:instrText>
      </w:r>
      <w:r w:rsidR="00000000"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="00000000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3357AD7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5B677BA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41BEA72" w14:textId="77777777" w:rsidR="00654F19" w:rsidRPr="007B1B0E" w:rsidRDefault="00000000" w:rsidP="00654F1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654F1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654F19" w:rsidRPr="007B1B0E">
        <w:rPr>
          <w:rFonts w:ascii="Arial" w:eastAsia="Arial" w:hAnsi="Arial" w:cs="Arial"/>
          <w:sz w:val="20"/>
          <w:szCs w:val="20"/>
        </w:rPr>
        <w:t>  </w:t>
      </w:r>
    </w:p>
    <w:p w14:paraId="0DFDE305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3A3720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82FE" w14:textId="77777777" w:rsidR="007C520A" w:rsidRDefault="007C520A" w:rsidP="00D06FF2">
      <w:r>
        <w:separator/>
      </w:r>
    </w:p>
  </w:endnote>
  <w:endnote w:type="continuationSeparator" w:id="0">
    <w:p w14:paraId="296C16F3" w14:textId="77777777" w:rsidR="007C520A" w:rsidRDefault="007C520A" w:rsidP="00D06FF2">
      <w:r>
        <w:continuationSeparator/>
      </w:r>
    </w:p>
  </w:endnote>
  <w:endnote w:type="continuationNotice" w:id="1">
    <w:p w14:paraId="070237E5" w14:textId="77777777" w:rsidR="007C520A" w:rsidRDefault="007C5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17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200B53D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40358D52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EEB9" w14:textId="77777777" w:rsidR="007C520A" w:rsidRDefault="007C520A" w:rsidP="00D06FF2">
      <w:r>
        <w:separator/>
      </w:r>
    </w:p>
  </w:footnote>
  <w:footnote w:type="continuationSeparator" w:id="0">
    <w:p w14:paraId="1FF9612F" w14:textId="77777777" w:rsidR="007C520A" w:rsidRDefault="007C520A" w:rsidP="00D06FF2">
      <w:r>
        <w:continuationSeparator/>
      </w:r>
    </w:p>
  </w:footnote>
  <w:footnote w:type="continuationNotice" w:id="1">
    <w:p w14:paraId="7AA92B51" w14:textId="77777777" w:rsidR="007C520A" w:rsidRDefault="007C5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2F73" w14:textId="77777777" w:rsidR="00D06FF2" w:rsidRDefault="007C520A">
    <w:pPr>
      <w:pStyle w:val="Intestazione"/>
    </w:pPr>
    <w:r>
      <w:rPr>
        <w:noProof/>
      </w:rPr>
      <w:pict w14:anchorId="6D9DD3A9"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5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" filled="f" stroked="f">
          <v:textbox>
            <w:txbxContent>
              <w:p w14:paraId="4EB10063" w14:textId="77777777" w:rsidR="00266D6A" w:rsidRPr="00EF6A5B" w:rsidRDefault="00EF6A5B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 Comunicazione</w:t>
                </w:r>
                <w:r w:rsidR="00654F19">
                  <w:rPr>
                    <w:rFonts w:ascii="Arial" w:hAnsi="Arial"/>
                    <w:sz w:val="20"/>
                    <w:szCs w:val="20"/>
                  </w:rPr>
                  <w:t xml:space="preserve"> e Public engagement</w:t>
                </w:r>
              </w:p>
              <w:p w14:paraId="7768BF76" w14:textId="77777777" w:rsidR="00266D6A" w:rsidRPr="00EC3C70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2A412D">
      <w:rPr>
        <w:noProof/>
        <w:lang w:eastAsia="it-IT"/>
      </w:rPr>
      <w:drawing>
        <wp:inline distT="0" distB="0" distL="0" distR="0" wp14:anchorId="188A810A" wp14:editId="148508D8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202615">
    <w:abstractNumId w:val="0"/>
  </w:num>
  <w:num w:numId="2" w16cid:durableId="272591484">
    <w:abstractNumId w:val="2"/>
  </w:num>
  <w:num w:numId="3" w16cid:durableId="210391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94"/>
    <w:rsid w:val="000249E6"/>
    <w:rsid w:val="00031727"/>
    <w:rsid w:val="00040DEE"/>
    <w:rsid w:val="000660BB"/>
    <w:rsid w:val="00075036"/>
    <w:rsid w:val="00094B15"/>
    <w:rsid w:val="000A6328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3445"/>
    <w:rsid w:val="00266D6A"/>
    <w:rsid w:val="002747EB"/>
    <w:rsid w:val="002A0428"/>
    <w:rsid w:val="002A412D"/>
    <w:rsid w:val="002B4C93"/>
    <w:rsid w:val="002C54E8"/>
    <w:rsid w:val="002E6EC2"/>
    <w:rsid w:val="002F35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382E20"/>
    <w:rsid w:val="003861BF"/>
    <w:rsid w:val="003A3720"/>
    <w:rsid w:val="003B5231"/>
    <w:rsid w:val="003C26A9"/>
    <w:rsid w:val="004124C3"/>
    <w:rsid w:val="00427495"/>
    <w:rsid w:val="0044540F"/>
    <w:rsid w:val="004520F6"/>
    <w:rsid w:val="00497FB5"/>
    <w:rsid w:val="004D2960"/>
    <w:rsid w:val="004D44BF"/>
    <w:rsid w:val="004F095E"/>
    <w:rsid w:val="00527881"/>
    <w:rsid w:val="00533EE0"/>
    <w:rsid w:val="00552B3B"/>
    <w:rsid w:val="00570003"/>
    <w:rsid w:val="005A7955"/>
    <w:rsid w:val="006519DA"/>
    <w:rsid w:val="00654F19"/>
    <w:rsid w:val="00666F4D"/>
    <w:rsid w:val="00667DD5"/>
    <w:rsid w:val="006852EC"/>
    <w:rsid w:val="006967C9"/>
    <w:rsid w:val="006A608F"/>
    <w:rsid w:val="006A6565"/>
    <w:rsid w:val="006A671E"/>
    <w:rsid w:val="0071669A"/>
    <w:rsid w:val="0073165E"/>
    <w:rsid w:val="00736196"/>
    <w:rsid w:val="00742902"/>
    <w:rsid w:val="00763CB5"/>
    <w:rsid w:val="00766BAD"/>
    <w:rsid w:val="007816B0"/>
    <w:rsid w:val="007946EF"/>
    <w:rsid w:val="007B0BF0"/>
    <w:rsid w:val="007C520A"/>
    <w:rsid w:val="007F6064"/>
    <w:rsid w:val="00805AD1"/>
    <w:rsid w:val="0082325A"/>
    <w:rsid w:val="00831313"/>
    <w:rsid w:val="008363E3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1082"/>
    <w:rsid w:val="00963194"/>
    <w:rsid w:val="00981141"/>
    <w:rsid w:val="00986FDE"/>
    <w:rsid w:val="009A17FD"/>
    <w:rsid w:val="009C22BF"/>
    <w:rsid w:val="009F10C2"/>
    <w:rsid w:val="009F6465"/>
    <w:rsid w:val="00A052F7"/>
    <w:rsid w:val="00A07B5A"/>
    <w:rsid w:val="00A436AC"/>
    <w:rsid w:val="00A70799"/>
    <w:rsid w:val="00A971F1"/>
    <w:rsid w:val="00AA6638"/>
    <w:rsid w:val="00AD3BDE"/>
    <w:rsid w:val="00AE2E6E"/>
    <w:rsid w:val="00B1002C"/>
    <w:rsid w:val="00B15B69"/>
    <w:rsid w:val="00B16AB1"/>
    <w:rsid w:val="00B411AB"/>
    <w:rsid w:val="00B42772"/>
    <w:rsid w:val="00B429D9"/>
    <w:rsid w:val="00B649FD"/>
    <w:rsid w:val="00B75FA9"/>
    <w:rsid w:val="00B76F1C"/>
    <w:rsid w:val="00BC303A"/>
    <w:rsid w:val="00BC3526"/>
    <w:rsid w:val="00BD0ADC"/>
    <w:rsid w:val="00BD4BE8"/>
    <w:rsid w:val="00BD4D6C"/>
    <w:rsid w:val="00C16829"/>
    <w:rsid w:val="00C64C8D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90832"/>
    <w:rsid w:val="00D91575"/>
    <w:rsid w:val="00DA41BF"/>
    <w:rsid w:val="00DA694D"/>
    <w:rsid w:val="00E5541A"/>
    <w:rsid w:val="00E6497D"/>
    <w:rsid w:val="00E758B9"/>
    <w:rsid w:val="00EA1C2B"/>
    <w:rsid w:val="00EA56BF"/>
    <w:rsid w:val="00EC3C70"/>
    <w:rsid w:val="00EE6623"/>
    <w:rsid w:val="00EF5780"/>
    <w:rsid w:val="00EF6A5B"/>
    <w:rsid w:val="00F00E11"/>
    <w:rsid w:val="00F061FD"/>
    <w:rsid w:val="00F13765"/>
    <w:rsid w:val="00F25A12"/>
    <w:rsid w:val="00F277CB"/>
    <w:rsid w:val="00F52245"/>
    <w:rsid w:val="00F7288A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DF5E3"/>
  <w15:docId w15:val="{F9F248EC-E3FE-524B-BF0F-36B3BCF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7</cp:revision>
  <dcterms:created xsi:type="dcterms:W3CDTF">2024-06-18T08:32:00Z</dcterms:created>
  <dcterms:modified xsi:type="dcterms:W3CDTF">2024-06-19T09:09:00Z</dcterms:modified>
</cp:coreProperties>
</file>